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color w:val="ff6600"/>
          <w:sz w:val="32"/>
          <w:szCs w:val="32"/>
          <w:rtl w:val="0"/>
        </w:rPr>
        <w:t xml:space="preserve">Titolo Azione: Promozione della guida responsabile - Rete Safe Night Piemonte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Rendicontazione delle attività realizzate nel 202</w:t>
      </w:r>
      <w:r w:rsidDel="00000000" w:rsidR="00000000" w:rsidRPr="00000000">
        <w:rPr>
          <w:b w:val="1"/>
          <w:color w:val="ff6600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 a livello locale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Livello locale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Individuazione in ogni ASL di un referente della rete che parteciperà agli incontri previsti della Rete Safe Night.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Promozione di percorsi formativi per operatori del mondo della notte.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Implementazione dell’uso dei trasporti pubblici nelle ore notturne (mobilità urbana ed extra urbana).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Costituzioni di tavoli con gli enti locali e gestori dei locali per la conciliazione tra mondo del divertimento e cittadini/e.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Mantenimento della scheda uscita e questionario etilometro comuni e loro eventuale revisione.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Utilizzo dei social come promozione della salute e mezzo di comunicazione.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Inserimento delle attività nel progetto predefinito “Rete Safe Night Piemonte” della banca dati ProSa.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Intervento di comunicazione/informazione: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1)   Il Servizio PIN ha come referente per la rete SafeNight  l’educatrice dell’Asl che coordina le attività del Servizio, ed è coadiuvata da uno psicologo,  operatore del privato sociale che collabora tramite il PLD.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4)   Nel 2023 PIN ha incontrato diversi enti, gestori di locali ed organizzatori di eventi, in particolare: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durante l’anno sono stati organizzati momenti specifici con alcune realtà ospitanti gli interventi, come Magazzino sul Po (Arci Torino), Azimut (Wired Productions), Associazione Comala e Imbarchino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partire da Marzo 2023, il Servizio PIN ha incontrato il Comune di Torino, negli Assessorati alle Politiche Sociali e alle Politiche per la Sicurezza, all’interno della progettualità Safe Direction di cui ASL Città di Torino è partner.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Settembre 2023 PIN è stato invitato dal Comune di Torino (Assessorato alle Politiche Giovanili) e partecipato al workshop del progetto europeo Re-Act.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ha infine progettato e realizzato insieme agli organizzatori del Reload Festival, del KappaFuturFestival, dei ToDays e del ClubToClub l’intervento del Servizio, promuovendo le metodologie della promozione della salute, limitazione dei rischi e riduzione del danno nei contesti dei festival cittadini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5)  Il Servizio PIN ha mantenuto la scheda uscite, il questionario relativo al calcolo dell’alcolemia, una scheda osservativa sugli interventi nelle piazze, strumenti condivisi con tutti i progetti della rete SafeNight. Il servizio utilizza inoltre un questionario sui consumi delle sostanze da proporre in autocompilazione ai frequentatori e alle frequentatrici.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6)  PIN continua ad essere presente su Facebook e su Instagram, anche in rete con altri servizi e progetti dell’Asl e della rete.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7) PIN ha rendicontato attentamente le proprie attività sulla piattaforma Pro.Sa,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8) Il Servizio PIN ha partecipato come relatore, il 7 Settembre 2023, al workshop “reflections on local resilience and reaction to covid-19 impact on youth”.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All’interno della Rete SafeNight il Servizio ha inoltre proposto un momento formativo sui temi dei generi, del consenso e delle violenze, nei contesti del divertimento.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405"/>
        </w:tabs>
        <w:ind w:left="397" w:hanging="34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5"/>
        </w:tabs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La popolazione target raggiunta è attorno alle 20.000 persone (20.045).</w:t>
      </w:r>
    </w:p>
    <w:p w:rsidR="00000000" w:rsidDel="00000000" w:rsidP="00000000" w:rsidRDefault="00000000" w:rsidRPr="00000000" w14:paraId="00000023">
      <w:pPr>
        <w:tabs>
          <w:tab w:val="left" w:leader="none" w:pos="405"/>
        </w:tabs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05"/>
        </w:tabs>
        <w:ind w:lef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Gli attori coinvolti nella realizzazione del Servizio PIN sono: il Dipartimento Dipendenze dell’ASL  Città di Torino, la Cooperativa Frassati, l’Associazione Isola di Arran.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Indicatori di programma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9.0" w:type="dxa"/>
        <w:jc w:val="left"/>
        <w:tblInd w:w="5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068"/>
        <w:gridCol w:w="2318"/>
        <w:gridCol w:w="2100"/>
        <w:gridCol w:w="2183"/>
        <w:tblGridChange w:id="0">
          <w:tblGrid>
            <w:gridCol w:w="3068"/>
            <w:gridCol w:w="2318"/>
            <w:gridCol w:w="2100"/>
            <w:gridCol w:w="21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Nome indicatore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Valore atteso locale 2023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Valore osservato al 31/12/2023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Motivazione eventuale scostamento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PP05_OT03_IT04 Comunicazione e informazione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Disponibilità di iniziative/ strumenti/materiali di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comunicazione per diffondere la cultura della sicurezza in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ambiente domestico e sulla strada nelle comunità locali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Realizzazione di almeno 1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intervento di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comunicazione/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è stato realizzato un evento di comunicazione, in occasione del workshop del progetto europeo Re-Act (Comune di Torino)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Il servizio PIN ha fornito ai colleghi della rete SafeNight una formazione su generi, sostanze e violenze, nei contesti del divertimento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Obiettivo e indicatore di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5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305"/>
        <w:gridCol w:w="3000"/>
        <w:gridCol w:w="2265"/>
        <w:gridCol w:w="1530"/>
        <w:gridCol w:w="1576"/>
        <w:gridCol w:w="14"/>
        <w:tblGridChange w:id="0">
          <w:tblGrid>
            <w:gridCol w:w="1305"/>
            <w:gridCol w:w="3000"/>
            <w:gridCol w:w="2265"/>
            <w:gridCol w:w="1530"/>
            <w:gridCol w:w="1576"/>
            <w:gridCol w:w="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Obiettivo di processo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Indicatore di processo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Valore atteso locale 2023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Valore osservato al 31/12/2023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Motivazione eventuale scostamento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left w:w="56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Mantenimento della rete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Safe Night Piemonte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Incontri della rete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Partecipazione ad almeno 3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riunioni della Rete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Servizio PIN ha parte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cipato a tutte le riunioni della rete (n.6)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color w:val="ff6600"/>
          <w:rtl w:val="0"/>
        </w:rPr>
        <w:t xml:space="preserve">Altre attività di iniziativa locale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decimal"/>
      <w:lvlText w:val="%2."/>
      <w:lvlJc w:val="left"/>
      <w:pPr>
        <w:ind w:left="1140" w:hanging="360"/>
      </w:pPr>
      <w:rPr/>
    </w:lvl>
    <w:lvl w:ilvl="2">
      <w:start w:val="1"/>
      <w:numFmt w:val="decimal"/>
      <w:lvlText w:val="%3."/>
      <w:lvlJc w:val="left"/>
      <w:pPr>
        <w:ind w:left="1500" w:hanging="360"/>
      </w:pPr>
      <w:rPr/>
    </w:lvl>
    <w:lvl w:ilvl="3">
      <w:start w:val="1"/>
      <w:numFmt w:val="decimal"/>
      <w:lvlText w:val="%4."/>
      <w:lvlJc w:val="left"/>
      <w:pPr>
        <w:ind w:left="1860" w:hanging="360"/>
      </w:pPr>
      <w:rPr/>
    </w:lvl>
    <w:lvl w:ilvl="4">
      <w:start w:val="1"/>
      <w:numFmt w:val="decimal"/>
      <w:lvlText w:val="%5."/>
      <w:lvlJc w:val="left"/>
      <w:pPr>
        <w:ind w:left="2220" w:hanging="360"/>
      </w:pPr>
      <w:rPr/>
    </w:lvl>
    <w:lvl w:ilvl="5">
      <w:start w:val="1"/>
      <w:numFmt w:val="decimal"/>
      <w:lvlText w:val="%6."/>
      <w:lvlJc w:val="left"/>
      <w:pPr>
        <w:ind w:left="2580" w:hanging="360"/>
      </w:pPr>
      <w:rPr/>
    </w:lvl>
    <w:lvl w:ilvl="6">
      <w:start w:val="1"/>
      <w:numFmt w:val="decimal"/>
      <w:lvlText w:val="%7."/>
      <w:lvlJc w:val="left"/>
      <w:pPr>
        <w:ind w:left="2940" w:hanging="360"/>
      </w:pPr>
      <w:rPr/>
    </w:lvl>
    <w:lvl w:ilvl="7">
      <w:start w:val="1"/>
      <w:numFmt w:val="decimal"/>
      <w:lvlText w:val="%8."/>
      <w:lvlJc w:val="left"/>
      <w:pPr>
        <w:ind w:left="3300" w:hanging="360"/>
      </w:pPr>
      <w:rPr/>
    </w:lvl>
    <w:lvl w:ilvl="8">
      <w:start w:val="1"/>
      <w:numFmt w:val="decimal"/>
      <w:lvlText w:val="%9."/>
      <w:lvlJc w:val="left"/>
      <w:pPr>
        <w:ind w:left="36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1E63"/>
    <w:pPr>
      <w:widowControl w:val="1"/>
      <w:suppressAutoHyphens w:val="1"/>
      <w:bidi w:val="0"/>
      <w:spacing w:after="0" w:before="0" w:line="240" w:lineRule="auto"/>
      <w:jc w:val="left"/>
    </w:pPr>
    <w:rPr>
      <w:rFonts w:ascii="Liberation Serif" w:cs="Arial" w:eastAsia="NSimSun" w:hAnsi="Liberation Serif"/>
      <w:color w:val="00000a"/>
      <w:sz w:val="24"/>
      <w:szCs w:val="24"/>
      <w:lang w:bidi="hi-IN" w:eastAsia="zh-CN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stLabel1">
    <w:name w:val="ListLabel 1"/>
    <w:qFormat w:val="1"/>
    <w:rPr>
      <w:rFonts w:cs="OpenSymbol"/>
    </w:rPr>
  </w:style>
  <w:style w:type="character" w:styleId="ListLabel2">
    <w:name w:val="ListLabel 2"/>
    <w:qFormat w:val="1"/>
    <w:rPr>
      <w:rFonts w:cs="OpenSymbol"/>
    </w:rPr>
  </w:style>
  <w:style w:type="character" w:styleId="ListLabel3">
    <w:name w:val="ListLabel 3"/>
    <w:qFormat w:val="1"/>
    <w:rPr>
      <w:rFonts w:cs="OpenSymbol"/>
    </w:rPr>
  </w:style>
  <w:style w:type="character" w:styleId="ListLabel4">
    <w:name w:val="ListLabel 4"/>
    <w:qFormat w:val="1"/>
    <w:rPr>
      <w:rFonts w:cs="OpenSymbol"/>
    </w:rPr>
  </w:style>
  <w:style w:type="character" w:styleId="ListLabel5">
    <w:name w:val="ListLabel 5"/>
    <w:qFormat w:val="1"/>
    <w:rPr>
      <w:rFonts w:cs="OpenSymbol"/>
    </w:rPr>
  </w:style>
  <w:style w:type="character" w:styleId="ListLabel6">
    <w:name w:val="ListLabel 6"/>
    <w:qFormat w:val="1"/>
    <w:rPr>
      <w:rFonts w:cs="OpenSymbol"/>
    </w:rPr>
  </w:style>
  <w:style w:type="character" w:styleId="ListLabel7">
    <w:name w:val="ListLabel 7"/>
    <w:qFormat w:val="1"/>
    <w:rPr>
      <w:rFonts w:cs="OpenSymbol"/>
    </w:rPr>
  </w:style>
  <w:style w:type="character" w:styleId="ListLabel8">
    <w:name w:val="ListLabel 8"/>
    <w:qFormat w:val="1"/>
    <w:rPr>
      <w:rFonts w:cs="OpenSymbol"/>
    </w:rPr>
  </w:style>
  <w:style w:type="character" w:styleId="ListLabel9">
    <w:name w:val="ListLabel 9"/>
    <w:qFormat w:val="1"/>
    <w:rPr>
      <w:rFonts w:cs="OpenSymbol"/>
    </w:rPr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Punti">
    <w:name w:val="Punti"/>
    <w:qFormat w:val="1"/>
    <w:rPr>
      <w:rFonts w:ascii="OpenSymbol" w:cs="OpenSymbol" w:eastAsia="OpenSymbol" w:hAnsi="OpenSymbol"/>
    </w:rPr>
  </w:style>
  <w:style w:type="character" w:styleId="Caratteridinumerazione">
    <w:name w:val="Caratteri di numerazione"/>
    <w:qFormat w:val="1"/>
    <w:rPr/>
  </w:style>
  <w:style w:type="character" w:styleId="ListLabel10">
    <w:name w:val="ListLabel 10"/>
    <w:qFormat w:val="1"/>
    <w:rPr>
      <w:rFonts w:cs="OpenSymbol"/>
    </w:rPr>
  </w:style>
  <w:style w:type="character" w:styleId="ListLabel11">
    <w:name w:val="ListLabel 11"/>
    <w:qFormat w:val="1"/>
    <w:rPr>
      <w:rFonts w:cs="OpenSymbol"/>
    </w:rPr>
  </w:style>
  <w:style w:type="character" w:styleId="ListLabel12">
    <w:name w:val="ListLabel 12"/>
    <w:qFormat w:val="1"/>
    <w:rPr>
      <w:rFonts w:cs="OpenSymbol"/>
    </w:rPr>
  </w:style>
  <w:style w:type="character" w:styleId="ListLabel13">
    <w:name w:val="ListLabel 13"/>
    <w:qFormat w:val="1"/>
    <w:rPr>
      <w:rFonts w:cs="OpenSymbol"/>
    </w:rPr>
  </w:style>
  <w:style w:type="character" w:styleId="ListLabel14">
    <w:name w:val="ListLabel 14"/>
    <w:qFormat w:val="1"/>
    <w:rPr>
      <w:rFonts w:cs="OpenSymbol"/>
    </w:rPr>
  </w:style>
  <w:style w:type="character" w:styleId="ListLabel15">
    <w:name w:val="ListLabel 15"/>
    <w:qFormat w:val="1"/>
    <w:rPr>
      <w:rFonts w:cs="OpenSymbol"/>
    </w:rPr>
  </w:style>
  <w:style w:type="character" w:styleId="ListLabel16">
    <w:name w:val="ListLabel 16"/>
    <w:qFormat w:val="1"/>
    <w:rPr>
      <w:rFonts w:cs="OpenSymbol"/>
    </w:rPr>
  </w:style>
  <w:style w:type="character" w:styleId="ListLabel17">
    <w:name w:val="ListLabel 17"/>
    <w:qFormat w:val="1"/>
    <w:rPr>
      <w:rFonts w:cs="OpenSymbol"/>
    </w:rPr>
  </w:style>
  <w:style w:type="character" w:styleId="ListLabel18">
    <w:name w:val="ListLabel 18"/>
    <w:qFormat w:val="1"/>
    <w:rPr>
      <w:rFonts w:cs="OpenSymbol"/>
    </w:rPr>
  </w:style>
  <w:style w:type="character" w:styleId="ListLabel19">
    <w:name w:val="ListLabel 19"/>
    <w:qFormat w:val="1"/>
    <w:rPr>
      <w:rFonts w:cs="OpenSymbol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OpenSymbol"/>
    </w:rPr>
  </w:style>
  <w:style w:type="character" w:styleId="ListLabel24">
    <w:name w:val="ListLabel 24"/>
    <w:qFormat w:val="1"/>
    <w:rPr>
      <w:rFonts w:cs="OpenSymbol"/>
    </w:rPr>
  </w:style>
  <w:style w:type="character" w:styleId="ListLabel25">
    <w:name w:val="ListLabel 25"/>
    <w:qFormat w:val="1"/>
    <w:rPr>
      <w:rFonts w:cs="OpenSymbol"/>
    </w:rPr>
  </w:style>
  <w:style w:type="character" w:styleId="ListLabel26">
    <w:name w:val="ListLabel 26"/>
    <w:qFormat w:val="1"/>
    <w:rPr>
      <w:rFonts w:cs="OpenSymbol"/>
    </w:rPr>
  </w:style>
  <w:style w:type="character" w:styleId="ListLabel27">
    <w:name w:val="ListLabel 27"/>
    <w:qFormat w:val="1"/>
    <w:rPr>
      <w:rFonts w:cs="OpenSymbol"/>
    </w:rPr>
  </w:style>
  <w:style w:type="character" w:styleId="ListLabel28">
    <w:name w:val="ListLabel 28"/>
    <w:qFormat w:val="1"/>
    <w:rPr>
      <w:rFonts w:cs="OpenSymbol"/>
    </w:rPr>
  </w:style>
  <w:style w:type="character" w:styleId="ListLabel29">
    <w:name w:val="ListLabel 29"/>
    <w:qFormat w:val="1"/>
    <w:rPr>
      <w:rFonts w:cs="OpenSymbol"/>
    </w:rPr>
  </w:style>
  <w:style w:type="character" w:styleId="ListLabel30">
    <w:name w:val="ListLabel 30"/>
    <w:qFormat w:val="1"/>
    <w:rPr>
      <w:rFonts w:cs="OpenSymbol"/>
    </w:rPr>
  </w:style>
  <w:style w:type="character" w:styleId="ListLabel31">
    <w:name w:val="ListLabel 31"/>
    <w:qFormat w:val="1"/>
    <w:rPr>
      <w:rFonts w:cs="OpenSymbol"/>
    </w:rPr>
  </w:style>
  <w:style w:type="character" w:styleId="ListLabel32">
    <w:name w:val="ListLabel 32"/>
    <w:qFormat w:val="1"/>
    <w:rPr>
      <w:rFonts w:cs="OpenSymbol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cs="OpenSymbol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cs="OpenSymbol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cs="OpenSymbol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OpenSymbol"/>
    </w:rPr>
  </w:style>
  <w:style w:type="character" w:styleId="ListLabel60">
    <w:name w:val="ListLabel 60"/>
    <w:qFormat w:val="1"/>
    <w:rPr>
      <w:rFonts w:cs="OpenSymbol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OpenSymbol"/>
    </w:rPr>
  </w:style>
  <w:style w:type="character" w:styleId="ListLabel63">
    <w:name w:val="ListLabel 63"/>
    <w:qFormat w:val="1"/>
    <w:rPr>
      <w:rFonts w:cs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88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rmalWeb">
    <w:name w:val="Normal (Web)"/>
    <w:basedOn w:val="Normal"/>
    <w:qFormat w:val="1"/>
    <w:rsid w:val="00361E63"/>
    <w:pPr>
      <w:suppressAutoHyphens w:val="0"/>
      <w:spacing w:after="100" w:before="100"/>
    </w:pPr>
    <w:rPr>
      <w:rFonts w:ascii="Times New Roman" w:cs="Times New Roman" w:eastAsia="Times New Roman" w:hAnsi="Times New Roman"/>
      <w:lang w:bidi="ar-SA"/>
    </w:rPr>
  </w:style>
  <w:style w:type="paragraph" w:styleId="Contenutotabella" w:customStyle="1">
    <w:name w:val="Contenuto tabella"/>
    <w:basedOn w:val="Normal"/>
    <w:qFormat w:val="1"/>
    <w:rsid w:val="00361E63"/>
    <w:pPr>
      <w:suppressLineNumbers w:val="1"/>
    </w:pPr>
    <w:rPr/>
  </w:style>
  <w:style w:type="paragraph" w:styleId="Stiledidisegnopredefinito" w:customStyle="1">
    <w:name w:val="Stile di disegno predefinito"/>
    <w:qFormat w:val="1"/>
    <w:rsid w:val="00361E63"/>
    <w:pPr>
      <w:widowControl w:val="0"/>
      <w:suppressAutoHyphens w:val="1"/>
      <w:bidi w:val="0"/>
      <w:spacing w:after="0" w:before="0" w:line="200" w:lineRule="atLeast"/>
      <w:jc w:val="left"/>
    </w:pPr>
    <w:rPr>
      <w:rFonts w:ascii="Arial" w:cs="Calibri" w:eastAsia="Tahoma" w:hAnsi="Arial"/>
      <w:color w:val="00000a"/>
      <w:sz w:val="36"/>
      <w:szCs w:val="24"/>
      <w:lang w:bidi="hi-IN" w:eastAsia="zh-CN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LmGZpbf/3spT0Klh/yxczy9kA==">CgMxLjAyCGguZ2pkZ3hzOAByITFKX1Q1Qnc1Y2ZoX0FXb0NldVpiTzRfa2FhMGozemR0bA==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2023-02-08T15:37:00Z</dcterms:created>
  <dc:creator>Utente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AppVersion">
    <vt:lpwstr>16.0000</vt:lpwstr>
  </property>
  <property fmtid="{D5CDD505-2E9C-101B-9397-08002B2CF9AE}" pid="9" name="ScaleCrop">
    <vt:lpwstr>false</vt:lpwstr>
  </property>
  <property fmtid="{D5CDD505-2E9C-101B-9397-08002B2CF9AE}" pid="10" name="DocSecurity">
    <vt:lpwstr>0</vt:lpwstr>
  </property>
  <property fmtid="{D5CDD505-2E9C-101B-9397-08002B2CF9AE}" pid="11" name="HyperlinksChanged">
    <vt:lpwstr>false</vt:lpwstr>
  </property>
  <property fmtid="{D5CDD505-2E9C-101B-9397-08002B2CF9AE}" pid="12" name="LinksUpToDate">
    <vt:lpwstr>false</vt:lpwstr>
  </property>
  <property fmtid="{D5CDD505-2E9C-101B-9397-08002B2CF9AE}" pid="13" name="ShareDoc">
    <vt:lpwstr>false</vt:lpwstr>
  </property>
</Properties>
</file>