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59B35B"/>
          <w:sz w:val="40"/>
          <w:szCs w:val="40"/>
        </w:rPr>
      </w:pPr>
      <w:r>
        <w:rPr>
          <w:rFonts w:ascii="Lato-Black" w:hAnsi="Lato-Black" w:cs="Lato-Black"/>
          <w:color w:val="59B35B"/>
          <w:sz w:val="40"/>
          <w:szCs w:val="40"/>
        </w:rPr>
        <w:t>TITOLO: “La sofferenza psichica dell’adolescente in contesto scolastico.”</w:t>
      </w: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59B35B"/>
          <w:sz w:val="30"/>
          <w:szCs w:val="30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33AB49"/>
          <w:sz w:val="24"/>
          <w:szCs w:val="24"/>
        </w:rPr>
      </w:pPr>
      <w:r>
        <w:rPr>
          <w:rFonts w:ascii="Lato-BlackItalic" w:hAnsi="Lato-BlackItalic" w:cs="Lato-BlackItalic"/>
          <w:i/>
          <w:iCs/>
          <w:color w:val="33AB49"/>
          <w:sz w:val="24"/>
          <w:szCs w:val="24"/>
        </w:rPr>
        <w:t>Presentazione sintetica</w:t>
      </w:r>
    </w:p>
    <w:p w:rsidR="00792349" w:rsidRPr="006B476A" w:rsidRDefault="00792349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/>
          <w:iCs/>
          <w:sz w:val="24"/>
          <w:szCs w:val="24"/>
        </w:rPr>
      </w:pPr>
      <w:r w:rsidRPr="006B476A">
        <w:rPr>
          <w:rFonts w:asciiTheme="minorHAnsi" w:hAnsiTheme="minorHAnsi" w:cs="Lato-BlackItalic"/>
          <w:i/>
          <w:iCs/>
          <w:sz w:val="24"/>
          <w:szCs w:val="24"/>
        </w:rPr>
        <w:t>In occasioni diverse, siamo stati chiamati ad intervenire su situazioni nelle quali era stata registrata e segnalata la sofferenza psichica di un allievo o di un gruppo di ragazzi, sofferenza manifestatasi all’interno del contesto scolastico.</w:t>
      </w:r>
    </w:p>
    <w:p w:rsidR="00792349" w:rsidRPr="006B476A" w:rsidRDefault="00792349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/>
          <w:iCs/>
          <w:sz w:val="24"/>
          <w:szCs w:val="24"/>
        </w:rPr>
      </w:pP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In alcuni casi la sofferenza nasce e si alimenta nel contesto familiare, in altri </w:t>
      </w:r>
      <w:r w:rsidR="009B618F" w:rsidRPr="006B476A">
        <w:rPr>
          <w:rFonts w:asciiTheme="minorHAnsi" w:hAnsiTheme="minorHAnsi" w:cs="Lato-BlackItalic"/>
          <w:i/>
          <w:iCs/>
          <w:sz w:val="24"/>
          <w:szCs w:val="24"/>
        </w:rPr>
        <w:t>possono essere aspetti disfunzionale del contesto scolastico a favorire la genesi del malessere; in ogni caso insegnanti, dirigenti scolastici genitori e compagni di classe sono coinvolti nella manifestazione del disagio e delle sue conseguenze.</w:t>
      </w:r>
    </w:p>
    <w:p w:rsidR="009B618F" w:rsidRPr="006B476A" w:rsidRDefault="009B618F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/>
          <w:iCs/>
          <w:sz w:val="24"/>
          <w:szCs w:val="24"/>
        </w:rPr>
      </w:pP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Nella maggior parte dei casi si arriva al riconoscimento della sofferenza quando le sue manifestazioni sono eclatanti e la sua intensità </w:t>
      </w:r>
      <w:r w:rsidR="00533F8F">
        <w:rPr>
          <w:rFonts w:asciiTheme="minorHAnsi" w:hAnsiTheme="minorHAnsi" w:cs="Lato-BlackItalic"/>
          <w:i/>
          <w:iCs/>
          <w:sz w:val="24"/>
          <w:szCs w:val="24"/>
        </w:rPr>
        <w:t>può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 tradu</w:t>
      </w:r>
      <w:r w:rsidR="00132229">
        <w:rPr>
          <w:rFonts w:asciiTheme="minorHAnsi" w:hAnsiTheme="minorHAnsi" w:cs="Lato-BlackItalic"/>
          <w:i/>
          <w:iCs/>
          <w:sz w:val="24"/>
          <w:szCs w:val="24"/>
        </w:rPr>
        <w:t>rsi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 in comportamenti “forti” e pericolosi.</w:t>
      </w:r>
    </w:p>
    <w:p w:rsidR="009B618F" w:rsidRPr="006B476A" w:rsidRDefault="009B618F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/>
          <w:iCs/>
          <w:sz w:val="24"/>
          <w:szCs w:val="24"/>
        </w:rPr>
      </w:pP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Alcuni insegnanti ci hanno chiesto </w:t>
      </w:r>
      <w:r w:rsidR="00766879" w:rsidRPr="006B476A">
        <w:rPr>
          <w:rFonts w:asciiTheme="minorHAnsi" w:hAnsiTheme="minorHAnsi" w:cs="Lato-BlackItalic"/>
          <w:i/>
          <w:iCs/>
          <w:sz w:val="24"/>
          <w:szCs w:val="24"/>
        </w:rPr>
        <w:t>di creare un piccolo spazio di confronto e formazione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 </w:t>
      </w:r>
      <w:r w:rsidR="00766879" w:rsidRPr="006B476A">
        <w:rPr>
          <w:rFonts w:asciiTheme="minorHAnsi" w:hAnsiTheme="minorHAnsi" w:cs="Lato-BlackItalic"/>
          <w:i/>
          <w:iCs/>
          <w:sz w:val="24"/>
          <w:szCs w:val="24"/>
        </w:rPr>
        <w:t>nel quale sia possibile portare contributi e riflettere</w:t>
      </w:r>
      <w:r w:rsidR="00233C24"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 insieme sulle situazioni in cui la sofferenza, in forme diverse, si manifesta a scuola.</w:t>
      </w:r>
    </w:p>
    <w:p w:rsidR="00233C24" w:rsidRDefault="00233C24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/>
          <w:iCs/>
          <w:sz w:val="24"/>
          <w:szCs w:val="24"/>
        </w:rPr>
      </w:pPr>
      <w:r w:rsidRPr="006B476A">
        <w:rPr>
          <w:rFonts w:asciiTheme="minorHAnsi" w:hAnsiTheme="minorHAnsi" w:cs="Lato-BlackItalic"/>
          <w:i/>
          <w:iCs/>
          <w:sz w:val="24"/>
          <w:szCs w:val="24"/>
        </w:rPr>
        <w:t>Per questa ragione la nostra equipe che è formata da operatori provenienti da servizi diversi</w:t>
      </w:r>
      <w:r w:rsidR="00132229">
        <w:rPr>
          <w:rFonts w:asciiTheme="minorHAnsi" w:hAnsiTheme="minorHAnsi" w:cs="Lato-BlackItalic"/>
          <w:i/>
          <w:iCs/>
          <w:sz w:val="24"/>
          <w:szCs w:val="24"/>
        </w:rPr>
        <w:t>, Psichiatria, Neuropsichiatria I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nfantile, </w:t>
      </w:r>
      <w:r w:rsidR="00132229">
        <w:rPr>
          <w:rFonts w:asciiTheme="minorHAnsi" w:hAnsiTheme="minorHAnsi" w:cs="Lato-BlackItalic"/>
          <w:i/>
          <w:iCs/>
          <w:sz w:val="24"/>
          <w:szCs w:val="24"/>
        </w:rPr>
        <w:t>S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ervizio </w:t>
      </w:r>
      <w:r w:rsidR="00132229">
        <w:rPr>
          <w:rFonts w:asciiTheme="minorHAnsi" w:hAnsiTheme="minorHAnsi" w:cs="Lato-BlackItalic"/>
          <w:i/>
          <w:iCs/>
          <w:sz w:val="24"/>
          <w:szCs w:val="24"/>
        </w:rPr>
        <w:t>D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>ipendenze, Consultori</w:t>
      </w:r>
      <w:r w:rsidR="00E41F3E">
        <w:rPr>
          <w:rFonts w:asciiTheme="minorHAnsi" w:hAnsiTheme="minorHAnsi" w:cs="Lato-BlackItalic"/>
          <w:i/>
          <w:iCs/>
          <w:sz w:val="24"/>
          <w:szCs w:val="24"/>
        </w:rPr>
        <w:t xml:space="preserve"> Familiari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 ha deciso di offrire questo breve percorso sulla sofferenza psichica in adolescente dedicato ai docenti scolastici, percorso pensato prima di tutto come spazio di riflessione congiunta, nel quale i contributi di tutti sono destinati a far crescere la consapevolezza del problema e </w:t>
      </w:r>
      <w:r w:rsidR="00132229">
        <w:rPr>
          <w:rFonts w:asciiTheme="minorHAnsi" w:hAnsiTheme="minorHAnsi" w:cs="Lato-BlackItalic"/>
          <w:i/>
          <w:iCs/>
          <w:sz w:val="24"/>
          <w:szCs w:val="24"/>
        </w:rPr>
        <w:t>le</w:t>
      </w:r>
      <w:r w:rsidRPr="006B476A">
        <w:rPr>
          <w:rFonts w:asciiTheme="minorHAnsi" w:hAnsiTheme="minorHAnsi" w:cs="Lato-BlackItalic"/>
          <w:i/>
          <w:iCs/>
          <w:sz w:val="24"/>
          <w:szCs w:val="24"/>
        </w:rPr>
        <w:t xml:space="preserve"> strategie utili ad affrontarlo.</w:t>
      </w:r>
    </w:p>
    <w:p w:rsidR="00E41F3E" w:rsidRDefault="006B476A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Cs/>
          <w:sz w:val="24"/>
          <w:szCs w:val="24"/>
        </w:rPr>
      </w:pPr>
      <w:r w:rsidRPr="00132229">
        <w:rPr>
          <w:rFonts w:asciiTheme="minorHAnsi" w:hAnsiTheme="minorHAnsi" w:cs="Lato-BlackItalic"/>
          <w:iCs/>
          <w:sz w:val="24"/>
          <w:szCs w:val="24"/>
        </w:rPr>
        <w:t xml:space="preserve">Il primo incontro prevede: </w:t>
      </w:r>
    </w:p>
    <w:p w:rsidR="00E41F3E" w:rsidRDefault="006B476A" w:rsidP="00E41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Cs/>
          <w:sz w:val="24"/>
          <w:szCs w:val="24"/>
        </w:rPr>
      </w:pPr>
      <w:r w:rsidRPr="00E41F3E">
        <w:rPr>
          <w:rFonts w:asciiTheme="minorHAnsi" w:hAnsiTheme="minorHAnsi" w:cs="Lato-BlackItalic"/>
          <w:iCs/>
          <w:sz w:val="24"/>
          <w:szCs w:val="24"/>
        </w:rPr>
        <w:t>una breve presentazione degli aspetti descrittivi ed epidemiolo</w:t>
      </w:r>
      <w:r w:rsidR="00E41F3E" w:rsidRPr="00E41F3E">
        <w:rPr>
          <w:rFonts w:asciiTheme="minorHAnsi" w:hAnsiTheme="minorHAnsi" w:cs="Lato-BlackItalic"/>
          <w:iCs/>
          <w:sz w:val="24"/>
          <w:szCs w:val="24"/>
        </w:rPr>
        <w:t>gici della sofferenza psichica</w:t>
      </w:r>
      <w:r w:rsidR="00E41F3E">
        <w:rPr>
          <w:rFonts w:asciiTheme="minorHAnsi" w:hAnsiTheme="minorHAnsi" w:cs="Lato-BlackItalic"/>
          <w:iCs/>
          <w:sz w:val="24"/>
          <w:szCs w:val="24"/>
        </w:rPr>
        <w:t xml:space="preserve">. (con particolare riferimento ai disturbi del comportamento, dell’alimentazione, dipendenze e </w:t>
      </w:r>
      <w:proofErr w:type="spellStart"/>
      <w:r w:rsidR="00E41F3E">
        <w:rPr>
          <w:rFonts w:asciiTheme="minorHAnsi" w:hAnsiTheme="minorHAnsi" w:cs="Lato-BlackItalic"/>
          <w:iCs/>
          <w:sz w:val="24"/>
          <w:szCs w:val="24"/>
        </w:rPr>
        <w:t>addiction</w:t>
      </w:r>
      <w:proofErr w:type="spellEnd"/>
      <w:r w:rsidR="00E41F3E">
        <w:rPr>
          <w:rFonts w:asciiTheme="minorHAnsi" w:hAnsiTheme="minorHAnsi" w:cs="Lato-BlackItalic"/>
          <w:iCs/>
          <w:sz w:val="24"/>
          <w:szCs w:val="24"/>
        </w:rPr>
        <w:t>, ritiro sociale).</w:t>
      </w:r>
    </w:p>
    <w:p w:rsidR="00E41F3E" w:rsidRDefault="00E41F3E" w:rsidP="00E41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Cs/>
          <w:sz w:val="24"/>
          <w:szCs w:val="24"/>
        </w:rPr>
      </w:pPr>
      <w:r>
        <w:rPr>
          <w:rFonts w:asciiTheme="minorHAnsi" w:hAnsiTheme="minorHAnsi" w:cs="Lato-BlackItalic"/>
          <w:iCs/>
          <w:sz w:val="24"/>
          <w:szCs w:val="24"/>
        </w:rPr>
        <w:t>D</w:t>
      </w:r>
      <w:r w:rsidR="006B476A" w:rsidRPr="00E41F3E">
        <w:rPr>
          <w:rFonts w:asciiTheme="minorHAnsi" w:hAnsiTheme="minorHAnsi" w:cs="Lato-BlackItalic"/>
          <w:iCs/>
          <w:sz w:val="24"/>
          <w:szCs w:val="24"/>
        </w:rPr>
        <w:t>iscussione in gruppi sulla percezione della soffer</w:t>
      </w:r>
      <w:r w:rsidR="00533F8F" w:rsidRPr="00E41F3E">
        <w:rPr>
          <w:rFonts w:asciiTheme="minorHAnsi" w:hAnsiTheme="minorHAnsi" w:cs="Lato-BlackItalic"/>
          <w:iCs/>
          <w:sz w:val="24"/>
          <w:szCs w:val="24"/>
        </w:rPr>
        <w:t>e</w:t>
      </w:r>
      <w:r w:rsidR="006B476A" w:rsidRPr="00E41F3E">
        <w:rPr>
          <w:rFonts w:asciiTheme="minorHAnsi" w:hAnsiTheme="minorHAnsi" w:cs="Lato-BlackItalic"/>
          <w:iCs/>
          <w:sz w:val="24"/>
          <w:szCs w:val="24"/>
        </w:rPr>
        <w:t>nza nella propria esperienza lavorativa ed individuazione di necessità ed esigenze</w:t>
      </w:r>
      <w:r w:rsidR="00132229" w:rsidRPr="00E41F3E">
        <w:rPr>
          <w:rFonts w:asciiTheme="minorHAnsi" w:hAnsiTheme="minorHAnsi" w:cs="Lato-BlackItalic"/>
          <w:iCs/>
          <w:sz w:val="24"/>
          <w:szCs w:val="24"/>
        </w:rPr>
        <w:t xml:space="preserve"> da affrontare nel corso</w:t>
      </w:r>
      <w:r>
        <w:rPr>
          <w:rFonts w:asciiTheme="minorHAnsi" w:hAnsiTheme="minorHAnsi" w:cs="Lato-BlackItalic"/>
          <w:iCs/>
          <w:sz w:val="24"/>
          <w:szCs w:val="24"/>
        </w:rPr>
        <w:t>.</w:t>
      </w:r>
    </w:p>
    <w:p w:rsidR="006B476A" w:rsidRPr="00E41F3E" w:rsidRDefault="00E41F3E" w:rsidP="00E41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Cs/>
          <w:sz w:val="24"/>
          <w:szCs w:val="24"/>
        </w:rPr>
      </w:pPr>
      <w:r>
        <w:rPr>
          <w:rFonts w:asciiTheme="minorHAnsi" w:hAnsiTheme="minorHAnsi" w:cs="Lato-BlackItalic"/>
          <w:iCs/>
          <w:sz w:val="24"/>
          <w:szCs w:val="24"/>
        </w:rPr>
        <w:t>A</w:t>
      </w:r>
      <w:r w:rsidR="00533F8F" w:rsidRPr="00E41F3E">
        <w:rPr>
          <w:rFonts w:asciiTheme="minorHAnsi" w:hAnsiTheme="minorHAnsi" w:cs="Lato-BlackItalic"/>
          <w:iCs/>
          <w:sz w:val="24"/>
          <w:szCs w:val="24"/>
        </w:rPr>
        <w:t>ccordi in assemblea sulle tematiche da approfondire.</w:t>
      </w:r>
    </w:p>
    <w:p w:rsidR="00533F8F" w:rsidRPr="00132229" w:rsidRDefault="00533F8F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Cs/>
          <w:sz w:val="24"/>
          <w:szCs w:val="24"/>
        </w:rPr>
      </w:pPr>
      <w:r w:rsidRPr="00132229">
        <w:rPr>
          <w:rFonts w:asciiTheme="minorHAnsi" w:hAnsiTheme="minorHAnsi" w:cs="Lato-BlackItalic"/>
          <w:iCs/>
          <w:sz w:val="24"/>
          <w:szCs w:val="24"/>
        </w:rPr>
        <w:t>Nel secondo e terzo incontro verranno trattati gli elementi concordati tra:</w:t>
      </w:r>
    </w:p>
    <w:p w:rsidR="00533F8F" w:rsidRPr="006B476A" w:rsidRDefault="00533F8F" w:rsidP="007923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ato-BlackItalic"/>
          <w:i/>
          <w:iCs/>
          <w:sz w:val="24"/>
          <w:szCs w:val="24"/>
        </w:rPr>
      </w:pPr>
      <w:r w:rsidRPr="00132229">
        <w:rPr>
          <w:rFonts w:asciiTheme="minorHAnsi" w:hAnsiTheme="minorHAnsi" w:cs="Lato-BlackItalic"/>
          <w:iCs/>
          <w:sz w:val="24"/>
          <w:szCs w:val="24"/>
        </w:rPr>
        <w:t>l’osservazione del disagio, il confronto tra insegnanti, la comunicazione tra insegnante ed allievo in difficoltà, il ruolo della scuola rispetto al disagio mentale, la collaborazione con i servizi sanitari, ed altri argomenti proposti e concordati con l’assemblea dei partecipanti al termine del primo incontro</w:t>
      </w:r>
      <w:r>
        <w:rPr>
          <w:rFonts w:asciiTheme="minorHAnsi" w:hAnsiTheme="minorHAnsi" w:cs="Lato-BlackItalic"/>
          <w:i/>
          <w:iCs/>
          <w:sz w:val="24"/>
          <w:szCs w:val="24"/>
        </w:rPr>
        <w:t>.</w:t>
      </w: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85757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33AB49"/>
          <w:sz w:val="24"/>
          <w:szCs w:val="24"/>
        </w:rPr>
      </w:pPr>
      <w:r>
        <w:rPr>
          <w:rFonts w:ascii="Lato-BlackItalic" w:hAnsi="Lato-BlackItalic" w:cs="Lato-BlackItalic"/>
          <w:i/>
          <w:iCs/>
          <w:color w:val="33AB49"/>
          <w:sz w:val="24"/>
          <w:szCs w:val="24"/>
        </w:rPr>
        <w:t>Destinatari</w:t>
      </w:r>
    </w:p>
    <w:p w:rsidR="00794740" w:rsidRPr="00794740" w:rsidRDefault="00794740" w:rsidP="0079474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 w:rsidRPr="00794740">
        <w:rPr>
          <w:rFonts w:asciiTheme="minorHAnsi" w:eastAsiaTheme="minorHAnsi" w:hAnsiTheme="minorHAnsi" w:cs="Lato-BlackItalic"/>
          <w:iCs/>
        </w:rPr>
        <w:t>Ins</w:t>
      </w:r>
      <w:r w:rsidR="00E41F3E">
        <w:rPr>
          <w:rFonts w:asciiTheme="minorHAnsi" w:eastAsiaTheme="minorHAnsi" w:hAnsiTheme="minorHAnsi" w:cs="Lato-BlackItalic"/>
          <w:iCs/>
        </w:rPr>
        <w:t xml:space="preserve">egnanti di scuola secondaria </w:t>
      </w:r>
      <w:r w:rsidRPr="00794740">
        <w:rPr>
          <w:rFonts w:asciiTheme="minorHAnsi" w:eastAsiaTheme="minorHAnsi" w:hAnsiTheme="minorHAnsi" w:cs="Lato-BlackItalic"/>
          <w:iCs/>
        </w:rPr>
        <w:t xml:space="preserve"> secondo grado</w:t>
      </w:r>
      <w:r w:rsidR="00E41F3E">
        <w:rPr>
          <w:rFonts w:asciiTheme="minorHAnsi" w:eastAsiaTheme="minorHAnsi" w:hAnsiTheme="minorHAnsi" w:cs="Lato-BlackItalic"/>
          <w:iCs/>
        </w:rPr>
        <w:t xml:space="preserve"> (numero massimo 30 partecipanti)</w:t>
      </w: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85757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33AB49"/>
          <w:sz w:val="24"/>
          <w:szCs w:val="24"/>
        </w:rPr>
      </w:pPr>
      <w:r>
        <w:rPr>
          <w:rFonts w:ascii="Lato-BlackItalic" w:hAnsi="Lato-BlackItalic" w:cs="Lato-BlackItalic"/>
          <w:i/>
          <w:iCs/>
          <w:color w:val="33AB49"/>
          <w:sz w:val="24"/>
          <w:szCs w:val="24"/>
        </w:rPr>
        <w:t>Strategia di intervento</w:t>
      </w:r>
    </w:p>
    <w:p w:rsidR="00037094" w:rsidRDefault="00037094" w:rsidP="0003709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>
        <w:rPr>
          <w:rFonts w:asciiTheme="minorHAnsi" w:eastAsiaTheme="minorHAnsi" w:hAnsiTheme="minorHAnsi" w:cs="Lato-BlackItalic"/>
          <w:iCs/>
        </w:rPr>
        <w:t>Tre</w:t>
      </w:r>
      <w:r w:rsidRPr="00037094">
        <w:rPr>
          <w:rFonts w:asciiTheme="minorHAnsi" w:eastAsiaTheme="minorHAnsi" w:hAnsiTheme="minorHAnsi" w:cs="Lato-BlackItalic"/>
          <w:iCs/>
        </w:rPr>
        <w:t xml:space="preserve"> incontri di formazione di circa 3 ore ciascuno con presentazioni teoriche, attività di </w:t>
      </w:r>
      <w:r>
        <w:rPr>
          <w:rFonts w:asciiTheme="minorHAnsi" w:eastAsiaTheme="minorHAnsi" w:hAnsiTheme="minorHAnsi" w:cs="Lato-BlackItalic"/>
          <w:iCs/>
        </w:rPr>
        <w:t>confronto ed elaborazione in gruppo. L’organizzazione didattica prevede:</w:t>
      </w:r>
    </w:p>
    <w:p w:rsidR="00037094" w:rsidRDefault="00037094" w:rsidP="000370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 w:rsidRPr="00037094">
        <w:rPr>
          <w:rFonts w:asciiTheme="minorHAnsi" w:eastAsiaTheme="minorHAnsi" w:hAnsiTheme="minorHAnsi" w:cs="Lato-BlackItalic"/>
          <w:iCs/>
        </w:rPr>
        <w:t>contributo di informazione teorica</w:t>
      </w:r>
    </w:p>
    <w:p w:rsidR="00037094" w:rsidRDefault="00037094" w:rsidP="000370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>
        <w:rPr>
          <w:rFonts w:asciiTheme="minorHAnsi" w:eastAsiaTheme="minorHAnsi" w:hAnsiTheme="minorHAnsi" w:cs="Lato-BlackItalic"/>
          <w:iCs/>
        </w:rPr>
        <w:t>elaborazione in gruppo</w:t>
      </w:r>
    </w:p>
    <w:p w:rsidR="00037094" w:rsidRPr="00037094" w:rsidRDefault="00037094" w:rsidP="000370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>
        <w:rPr>
          <w:rFonts w:asciiTheme="minorHAnsi" w:eastAsiaTheme="minorHAnsi" w:hAnsiTheme="minorHAnsi" w:cs="Lato-BlackItalic"/>
          <w:iCs/>
        </w:rPr>
        <w:t>restituzione e conclusioni in assemblea.</w:t>
      </w: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85757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85757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b/>
          <w:i/>
          <w:iCs/>
          <w:color w:val="585757"/>
        </w:rPr>
      </w:pPr>
      <w:r>
        <w:rPr>
          <w:rFonts w:ascii="Lato-BlackItalic" w:hAnsi="Lato-BlackItalic" w:cs="Lato-BlackItalic"/>
          <w:b/>
          <w:i/>
          <w:iCs/>
          <w:color w:val="585757"/>
        </w:rPr>
        <w:t>Per adesioni e iscrizioni:</w:t>
      </w:r>
    </w:p>
    <w:p w:rsidR="00037094" w:rsidRPr="00037094" w:rsidRDefault="00037094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Cs/>
          <w:color w:val="585757"/>
        </w:rPr>
      </w:pPr>
      <w:r w:rsidRPr="00037094">
        <w:rPr>
          <w:rFonts w:asciiTheme="minorHAnsi" w:hAnsiTheme="minorHAnsi" w:cs="Lato-BlackItalic"/>
          <w:iCs/>
          <w:color w:val="585757"/>
        </w:rPr>
        <w:t>rivolgersi a</w:t>
      </w:r>
      <w:r w:rsidRPr="00037094">
        <w:rPr>
          <w:rFonts w:ascii="Lato-BlackItalic" w:hAnsi="Lato-BlackItalic" w:cs="Lato-BlackItalic"/>
          <w:iCs/>
          <w:color w:val="585757"/>
        </w:rPr>
        <w:t>:</w:t>
      </w:r>
    </w:p>
    <w:p w:rsidR="00037094" w:rsidRPr="00037094" w:rsidRDefault="00685B0A" w:rsidP="0003709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hyperlink r:id="rId6" w:history="1">
        <w:r w:rsidR="00037094" w:rsidRPr="00037094">
          <w:rPr>
            <w:rFonts w:asciiTheme="minorHAnsi" w:eastAsiaTheme="minorHAnsi" w:hAnsiTheme="minorHAnsi" w:cs="Lato-BlackItalic"/>
            <w:iCs/>
            <w:color w:val="0000FF" w:themeColor="hyperlink"/>
            <w:u w:val="single"/>
          </w:rPr>
          <w:t>promozione.salute@ats-valpadana.it</w:t>
        </w:r>
      </w:hyperlink>
      <w:r w:rsidR="00037094" w:rsidRPr="00037094">
        <w:rPr>
          <w:rFonts w:asciiTheme="minorHAnsi" w:eastAsiaTheme="minorHAnsi" w:hAnsiTheme="minorHAnsi" w:cs="Lato-BlackItalic"/>
          <w:iCs/>
        </w:rPr>
        <w:t xml:space="preserve"> </w:t>
      </w:r>
    </w:p>
    <w:p w:rsidR="00037094" w:rsidRPr="00037094" w:rsidRDefault="00037094" w:rsidP="0003709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F28800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33AB49"/>
          <w:sz w:val="24"/>
          <w:szCs w:val="24"/>
        </w:rPr>
      </w:pPr>
      <w:r>
        <w:rPr>
          <w:rFonts w:ascii="Lato-BlackItalic" w:hAnsi="Lato-BlackItalic" w:cs="Lato-BlackItalic"/>
          <w:i/>
          <w:iCs/>
          <w:color w:val="33AB49"/>
          <w:sz w:val="24"/>
          <w:szCs w:val="24"/>
        </w:rPr>
        <w:t>Obiettivi</w:t>
      </w:r>
    </w:p>
    <w:p w:rsidR="006B476A" w:rsidRPr="006B476A" w:rsidRDefault="006B476A" w:rsidP="006B476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 w:rsidRPr="006B476A">
        <w:rPr>
          <w:rFonts w:asciiTheme="minorHAnsi" w:eastAsiaTheme="minorHAnsi" w:hAnsiTheme="minorHAnsi" w:cs="Lato-BlackItalic"/>
          <w:iCs/>
        </w:rPr>
        <w:t xml:space="preserve">Offrire strumenti per </w:t>
      </w:r>
      <w:r>
        <w:rPr>
          <w:rFonts w:asciiTheme="minorHAnsi" w:eastAsiaTheme="minorHAnsi" w:hAnsiTheme="minorHAnsi" w:cs="Lato-BlackItalic"/>
          <w:iCs/>
        </w:rPr>
        <w:t xml:space="preserve"> riconoscere l’emergere della sofferenza psichica</w:t>
      </w:r>
      <w:r w:rsidRPr="006B476A">
        <w:rPr>
          <w:rFonts w:asciiTheme="minorHAnsi" w:eastAsiaTheme="minorHAnsi" w:hAnsiTheme="minorHAnsi" w:cs="Lato-BlackItalic"/>
          <w:iCs/>
        </w:rPr>
        <w:t>;</w:t>
      </w:r>
    </w:p>
    <w:p w:rsidR="006B476A" w:rsidRPr="006B476A" w:rsidRDefault="006B476A" w:rsidP="006B476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 w:rsidRPr="006B476A">
        <w:rPr>
          <w:rFonts w:asciiTheme="minorHAnsi" w:eastAsiaTheme="minorHAnsi" w:hAnsiTheme="minorHAnsi" w:cs="Lato-BlackItalic"/>
          <w:iCs/>
        </w:rPr>
        <w:t>rinforzare la capacità di comunicare nella classe anche in presenza di fatti complessi</w:t>
      </w:r>
      <w:r>
        <w:rPr>
          <w:rFonts w:asciiTheme="minorHAnsi" w:eastAsiaTheme="minorHAnsi" w:hAnsiTheme="minorHAnsi" w:cs="Lato-BlackItalic"/>
          <w:iCs/>
        </w:rPr>
        <w:t xml:space="preserve"> e di difficoltà</w:t>
      </w:r>
      <w:r w:rsidRPr="006B476A">
        <w:rPr>
          <w:rFonts w:asciiTheme="minorHAnsi" w:eastAsiaTheme="minorHAnsi" w:hAnsiTheme="minorHAnsi" w:cs="Lato-BlackItalic"/>
          <w:iCs/>
        </w:rPr>
        <w:t>;</w:t>
      </w:r>
    </w:p>
    <w:p w:rsidR="006B476A" w:rsidRPr="006B476A" w:rsidRDefault="006B476A" w:rsidP="006B476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 w:rsidRPr="006B476A">
        <w:rPr>
          <w:rFonts w:asciiTheme="minorHAnsi" w:eastAsiaTheme="minorHAnsi" w:hAnsiTheme="minorHAnsi" w:cs="Lato-BlackItalic"/>
          <w:iCs/>
        </w:rPr>
        <w:t>creare un clima di sicurezza e di elaborazione;</w:t>
      </w:r>
    </w:p>
    <w:p w:rsidR="006B476A" w:rsidRPr="006B476A" w:rsidRDefault="006B476A" w:rsidP="006B476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Lato-BlackItalic"/>
          <w:iCs/>
        </w:rPr>
      </w:pPr>
      <w:r w:rsidRPr="006B476A">
        <w:rPr>
          <w:rFonts w:asciiTheme="minorHAnsi" w:eastAsiaTheme="minorHAnsi" w:hAnsiTheme="minorHAnsi" w:cs="Lato-BlackItalic"/>
          <w:iCs/>
        </w:rPr>
        <w:t>trarre dall’esperienza traumatica elementi di resilienza e di coesione  per il gruppo</w:t>
      </w:r>
      <w:r>
        <w:rPr>
          <w:rFonts w:asciiTheme="minorHAnsi" w:eastAsiaTheme="minorHAnsi" w:hAnsiTheme="minorHAnsi" w:cs="Lato-BlackItalic"/>
          <w:iCs/>
        </w:rPr>
        <w:t xml:space="preserve"> degli insegnanti,</w:t>
      </w:r>
      <w:r w:rsidRPr="006B476A">
        <w:rPr>
          <w:rFonts w:asciiTheme="minorHAnsi" w:eastAsiaTheme="minorHAnsi" w:hAnsiTheme="minorHAnsi" w:cs="Lato-BlackItalic"/>
          <w:iCs/>
        </w:rPr>
        <w:t xml:space="preserve"> il gruppo classe.</w:t>
      </w: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85757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585757"/>
        </w:rPr>
      </w:pP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33AB49"/>
          <w:sz w:val="24"/>
          <w:szCs w:val="24"/>
        </w:rPr>
      </w:pPr>
      <w:r>
        <w:rPr>
          <w:rFonts w:ascii="Lato-BlackItalic" w:hAnsi="Lato-BlackItalic" w:cs="Lato-BlackItalic"/>
          <w:i/>
          <w:iCs/>
          <w:color w:val="33AB49"/>
          <w:sz w:val="24"/>
          <w:szCs w:val="24"/>
        </w:rPr>
        <w:t>Caratteristiche del progetto:</w:t>
      </w:r>
    </w:p>
    <w:p w:rsidR="00792349" w:rsidRDefault="00037094" w:rsidP="00792349">
      <w:pPr>
        <w:autoSpaceDE w:val="0"/>
        <w:autoSpaceDN w:val="0"/>
        <w:adjustRightInd w:val="0"/>
        <w:spacing w:after="0" w:line="240" w:lineRule="auto"/>
        <w:rPr>
          <w:rFonts w:ascii="Lato-BlackItalic" w:hAnsi="Lato-BlackItalic" w:cs="Lato-BlackItalic"/>
          <w:i/>
          <w:iCs/>
          <w:color w:val="33AB49"/>
          <w:sz w:val="24"/>
          <w:szCs w:val="24"/>
        </w:rPr>
      </w:pPr>
      <w:r w:rsidRPr="00037094">
        <w:rPr>
          <w:rFonts w:asciiTheme="minorHAnsi" w:eastAsiaTheme="minorHAnsi" w:hAnsiTheme="minorHAnsi" w:cs="Lato-BlackItalic"/>
          <w:iCs/>
        </w:rPr>
        <w:t xml:space="preserve">formazione partecipata con attività </w:t>
      </w:r>
      <w:r>
        <w:rPr>
          <w:rFonts w:asciiTheme="minorHAnsi" w:eastAsiaTheme="minorHAnsi" w:hAnsiTheme="minorHAnsi" w:cs="Lato-BlackItalic"/>
          <w:iCs/>
        </w:rPr>
        <w:t>co</w:t>
      </w:r>
      <w:r w:rsidR="006B476A">
        <w:rPr>
          <w:rFonts w:asciiTheme="minorHAnsi" w:eastAsiaTheme="minorHAnsi" w:hAnsiTheme="minorHAnsi" w:cs="Lato-BlackItalic"/>
          <w:iCs/>
        </w:rPr>
        <w:t>ordinata di confronto gruppale.</w:t>
      </w:r>
    </w:p>
    <w:p w:rsidR="00792349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585757"/>
        </w:rPr>
      </w:pPr>
    </w:p>
    <w:p w:rsidR="00792349" w:rsidRPr="00685B0A" w:rsidRDefault="00792349" w:rsidP="00792349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</w:rPr>
      </w:pPr>
      <w:r>
        <w:rPr>
          <w:rFonts w:ascii="Lato-Black" w:hAnsi="Lato-Black" w:cs="Lato-Black"/>
          <w:color w:val="3FA536"/>
        </w:rPr>
        <w:t>CONTATTI</w:t>
      </w:r>
      <w:r w:rsidRPr="00685B0A">
        <w:rPr>
          <w:rFonts w:ascii="Lato-Black" w:hAnsi="Lato-Black" w:cs="Lato-Black"/>
        </w:rPr>
        <w:t>:</w:t>
      </w:r>
      <w:r w:rsidR="00685B0A" w:rsidRPr="00685B0A">
        <w:rPr>
          <w:rFonts w:ascii="Lato-Black" w:hAnsi="Lato-Black" w:cs="Lato-Black"/>
        </w:rPr>
        <w:t xml:space="preserve"> Dr Bruno Boccaletti, c/o Consultorio di Mantova, tel. 331/6869594, indirizzo mail:</w:t>
      </w:r>
    </w:p>
    <w:p w:rsidR="00685B0A" w:rsidRDefault="00685B0A" w:rsidP="00792349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3FA536"/>
        </w:rPr>
      </w:pPr>
      <w:hyperlink r:id="rId7" w:history="1">
        <w:r w:rsidRPr="00741A08">
          <w:rPr>
            <w:rStyle w:val="Collegamentoipertestuale"/>
            <w:rFonts w:ascii="Lato-Black" w:hAnsi="Lato-Black" w:cs="Lato-Black"/>
          </w:rPr>
          <w:t>bruno.boccaletti@asst-mantova.it</w:t>
        </w:r>
      </w:hyperlink>
      <w:r>
        <w:rPr>
          <w:rFonts w:ascii="Lato-Black" w:hAnsi="Lato-Black" w:cs="Lato-Black"/>
          <w:color w:val="3FA536"/>
        </w:rPr>
        <w:t xml:space="preserve"> , </w:t>
      </w:r>
      <w:hyperlink r:id="rId8" w:history="1">
        <w:r w:rsidRPr="00741A08">
          <w:rPr>
            <w:rStyle w:val="Collegamentoipertestuale"/>
            <w:rFonts w:ascii="Lato-Black" w:hAnsi="Lato-Black" w:cs="Lato-Black"/>
          </w:rPr>
          <w:t>promione.salute@ats-valpadana.it</w:t>
        </w:r>
      </w:hyperlink>
      <w:r>
        <w:rPr>
          <w:rFonts w:ascii="Lato-Black" w:hAnsi="Lato-Black" w:cs="Lato-Black"/>
          <w:color w:val="3FA536"/>
        </w:rPr>
        <w:t xml:space="preserve"> </w:t>
      </w:r>
      <w:bookmarkStart w:id="0" w:name="_GoBack"/>
      <w:bookmarkEnd w:id="0"/>
    </w:p>
    <w:p w:rsidR="00792349" w:rsidRDefault="00792349" w:rsidP="00792349">
      <w:pPr>
        <w:rPr>
          <w:rFonts w:ascii="Lato-Black" w:hAnsi="Lato-Black" w:cs="Lato-Black"/>
          <w:color w:val="585757"/>
        </w:rPr>
      </w:pPr>
    </w:p>
    <w:p w:rsidR="003D4739" w:rsidRDefault="003D4739"/>
    <w:sectPr w:rsidR="003D4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-Blac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14B"/>
    <w:multiLevelType w:val="hybridMultilevel"/>
    <w:tmpl w:val="4C8ADDB0"/>
    <w:lvl w:ilvl="0" w:tplc="EB20A9AA">
      <w:numFmt w:val="bullet"/>
      <w:lvlText w:val="-"/>
      <w:lvlJc w:val="left"/>
      <w:pPr>
        <w:ind w:left="720" w:hanging="360"/>
      </w:pPr>
      <w:rPr>
        <w:rFonts w:ascii="Calibri" w:eastAsiaTheme="minorHAnsi" w:hAnsi="Calibri" w:cs="Lato-Black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7F9"/>
    <w:multiLevelType w:val="hybridMultilevel"/>
    <w:tmpl w:val="76A0497C"/>
    <w:lvl w:ilvl="0" w:tplc="8FAE9562">
      <w:numFmt w:val="bullet"/>
      <w:lvlText w:val="-"/>
      <w:lvlJc w:val="left"/>
      <w:pPr>
        <w:ind w:left="720" w:hanging="360"/>
      </w:pPr>
      <w:rPr>
        <w:rFonts w:ascii="Calibri" w:eastAsia="Calibri" w:hAnsi="Calibri" w:cs="Lato-Black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63BC8"/>
    <w:multiLevelType w:val="hybridMultilevel"/>
    <w:tmpl w:val="59244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11"/>
    <w:rsid w:val="00037094"/>
    <w:rsid w:val="00132229"/>
    <w:rsid w:val="00233C24"/>
    <w:rsid w:val="002A0C11"/>
    <w:rsid w:val="003D4739"/>
    <w:rsid w:val="00533F8F"/>
    <w:rsid w:val="00685B0A"/>
    <w:rsid w:val="006B476A"/>
    <w:rsid w:val="00766879"/>
    <w:rsid w:val="00792349"/>
    <w:rsid w:val="00794740"/>
    <w:rsid w:val="009B618F"/>
    <w:rsid w:val="00E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3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5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3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5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one.salute@ats-valpada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uno.boccalett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zione.salute@ats-valpadan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Boccaletti</dc:creator>
  <cp:keywords/>
  <dc:description/>
  <cp:lastModifiedBy>Bruno Boccaletti</cp:lastModifiedBy>
  <cp:revision>4</cp:revision>
  <dcterms:created xsi:type="dcterms:W3CDTF">2019-07-18T13:56:00Z</dcterms:created>
  <dcterms:modified xsi:type="dcterms:W3CDTF">2019-12-05T11:18:00Z</dcterms:modified>
</cp:coreProperties>
</file>